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b21b7a" w:val="clear"/>
        <w:spacing w:after="160" w:before="0" w:lineRule="auto"/>
        <w:contextualSpacing w:val="0"/>
        <w:jc w:val="both"/>
        <w:rPr>
          <w:b w:val="1"/>
          <w:color w:val="60073b"/>
          <w:sz w:val="38"/>
          <w:szCs w:val="3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60073b"/>
          <w:sz w:val="38"/>
          <w:szCs w:val="38"/>
          <w:rtl w:val="0"/>
        </w:rPr>
        <w:t xml:space="preserve">Conditions</w:t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b21b7a" w:val="clear"/>
        <w:spacing w:after="160" w:before="0" w:lineRule="auto"/>
        <w:contextualSpacing w:val="0"/>
        <w:jc w:val="both"/>
        <w:rPr>
          <w:b w:val="1"/>
          <w:color w:val="60073b"/>
          <w:sz w:val="38"/>
          <w:szCs w:val="38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60073b"/>
          <w:sz w:val="38"/>
          <w:szCs w:val="38"/>
          <w:rtl w:val="0"/>
        </w:rPr>
        <w:t xml:space="preserve">Preliminary conditions of participation of Dancing Theatre “Kazan”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b21b7a" w:val="clear"/>
        <w:spacing w:after="160" w:before="0" w:lineRule="auto"/>
        <w:contextualSpacing w:val="0"/>
        <w:jc w:val="both"/>
        <w:rPr>
          <w:b w:val="1"/>
          <w:color w:val="60073b"/>
          <w:sz w:val="30"/>
          <w:szCs w:val="30"/>
        </w:rPr>
      </w:pPr>
      <w:bookmarkStart w:colFirst="0" w:colLast="0" w:name="_1fob9te" w:id="2"/>
      <w:bookmarkEnd w:id="2"/>
      <w:r w:rsidDel="00000000" w:rsidR="00000000" w:rsidRPr="00000000">
        <w:rPr>
          <w:b w:val="1"/>
          <w:color w:val="60073b"/>
          <w:sz w:val="30"/>
          <w:szCs w:val="30"/>
          <w:rtl w:val="0"/>
        </w:rPr>
        <w:t xml:space="preserve">in tours and single performances.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b21b7a" w:val="clear"/>
        <w:spacing w:after="120" w:line="312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1. The continuance of the program and cast may be formed according on the receiving side’s possibilities and wishes: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1180" w:hanging="360"/>
        <w:contextualSpacing w:val="1"/>
        <w:jc w:val="both"/>
        <w:rPr/>
      </w:pPr>
      <w:r w:rsidDel="00000000" w:rsidR="00000000" w:rsidRPr="00000000">
        <w:rPr>
          <w:sz w:val="23"/>
          <w:szCs w:val="23"/>
          <w:rtl w:val="0"/>
        </w:rPr>
        <w:t xml:space="preserve">complete cast (35-40 persons): dancing troupe and orchestra (live music) plus a vocalist (1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1180" w:hanging="360"/>
        <w:contextualSpacing w:val="1"/>
        <w:jc w:val="both"/>
        <w:rPr/>
      </w:pPr>
      <w:r w:rsidDel="00000000" w:rsidR="00000000" w:rsidRPr="00000000">
        <w:rPr>
          <w:sz w:val="23"/>
          <w:szCs w:val="23"/>
          <w:rtl w:val="0"/>
        </w:rPr>
        <w:t xml:space="preserve">small cast (not less than 26 persons): dancers only.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b21b7a" w:val="clear"/>
        <w:spacing w:after="120" w:line="312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continuance of the program depends on the number of the cast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1180" w:hanging="360"/>
        <w:contextualSpacing w:val="1"/>
        <w:jc w:val="both"/>
        <w:rPr/>
      </w:pPr>
      <w:r w:rsidDel="00000000" w:rsidR="00000000" w:rsidRPr="00000000">
        <w:rPr>
          <w:sz w:val="23"/>
          <w:szCs w:val="23"/>
          <w:rtl w:val="0"/>
        </w:rPr>
        <w:t xml:space="preserve">two-part performance (120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1180" w:hanging="360"/>
        <w:contextualSpacing w:val="1"/>
        <w:jc w:val="both"/>
        <w:rPr/>
      </w:pPr>
      <w:r w:rsidDel="00000000" w:rsidR="00000000" w:rsidRPr="00000000">
        <w:rPr>
          <w:sz w:val="23"/>
          <w:szCs w:val="23"/>
          <w:rtl w:val="0"/>
        </w:rPr>
        <w:t xml:space="preserve">one-part performance (60-90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b21b7a" w:val="clear"/>
        <w:spacing w:after="120" w:line="312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2. The receiving side must provide the Theatre’s cast with lodging: this may be hotels, campuses and hostels (it is possible to place not more than 4 persons in one room but the shower must be in each room separately).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b21b7a" w:val="clear"/>
        <w:spacing w:after="120" w:line="312" w:lineRule="auto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3.The cost of the concert of Dancing Theatre “Kazan” depends on the country where the performance takes place, the number of performances and length of the tour.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